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B0" w:rsidRPr="006059A7" w:rsidRDefault="00DB23B0" w:rsidP="00DB23B0">
      <w:pPr>
        <w:jc w:val="center"/>
        <w:rPr>
          <w:rFonts w:ascii="Arial" w:hAnsi="Arial" w:cs="Arial"/>
          <w:b/>
          <w:color w:val="0070C0"/>
        </w:rPr>
      </w:pPr>
      <w:r w:rsidRPr="006059A7">
        <w:rPr>
          <w:rFonts w:ascii="Arial" w:hAnsi="Arial" w:cs="Arial"/>
          <w:b/>
          <w:color w:val="0070C0"/>
        </w:rPr>
        <w:t>Questioning</w:t>
      </w:r>
    </w:p>
    <w:p w:rsidR="00DB23B0" w:rsidRDefault="00DB23B0" w:rsidP="00DB23B0">
      <w:pPr>
        <w:jc w:val="center"/>
        <w:rPr>
          <w:rFonts w:ascii="Arial" w:hAnsi="Arial" w:cs="Arial"/>
          <w:b/>
        </w:rPr>
      </w:pPr>
    </w:p>
    <w:p w:rsidR="00DB23B0" w:rsidRDefault="00DB23B0" w:rsidP="00DB23B0">
      <w:pPr>
        <w:rPr>
          <w:rFonts w:ascii="Arial" w:hAnsi="Arial" w:cs="Arial"/>
        </w:rPr>
      </w:pPr>
      <w:r>
        <w:rPr>
          <w:rFonts w:ascii="Arial" w:hAnsi="Arial" w:cs="Arial"/>
          <w:b/>
        </w:rPr>
        <w:t xml:space="preserve">What it is: </w:t>
      </w:r>
      <w:r>
        <w:rPr>
          <w:rFonts w:ascii="Arial" w:hAnsi="Arial" w:cs="Arial"/>
        </w:rPr>
        <w:t>There are a variety of frameworks for questioning strategies, with the most familiar probably being Bloom’s Taxonomy. No matter what model you use, the basic purpose behind questioning is to provide a way to adjust the complexity of questions or products in order to meet the diverse needs of learners. All students should be exposed to tasks that stretch their thinking and challenge their perspectives, but providing students with gifts and talents these opportunities is particularly crucial for nurturing potential. By paying attention to the kinds of questions that you ask students and the types of tasks you provide them, you can ensure that your lessons engage all students and provide them ways to develop “flow.” Students with gifts and talents generally learn basic information and skills at a faster rate than their peers, so providing them questions and tasks that are more complex, more abstract, or go into more depth responds to their needs.</w:t>
      </w:r>
    </w:p>
    <w:p w:rsidR="00DB23B0" w:rsidRDefault="00DB23B0" w:rsidP="00DB23B0">
      <w:pPr>
        <w:rPr>
          <w:rFonts w:ascii="Arial" w:hAnsi="Arial" w:cs="Arial"/>
        </w:rPr>
      </w:pPr>
      <w:r>
        <w:rPr>
          <w:rFonts w:ascii="Arial" w:hAnsi="Arial" w:cs="Arial"/>
        </w:rPr>
        <w:t xml:space="preserve"> </w:t>
      </w:r>
    </w:p>
    <w:p w:rsidR="00DB23B0" w:rsidRDefault="00DB23B0" w:rsidP="00DB23B0">
      <w:pPr>
        <w:rPr>
          <w:rFonts w:ascii="Arial" w:hAnsi="Arial" w:cs="Arial"/>
        </w:rPr>
      </w:pPr>
      <w:r>
        <w:rPr>
          <w:rFonts w:ascii="Arial" w:hAnsi="Arial" w:cs="Arial"/>
          <w:b/>
        </w:rPr>
        <w:t>Benefits:</w:t>
      </w:r>
      <w:r>
        <w:rPr>
          <w:rFonts w:ascii="Arial" w:hAnsi="Arial" w:cs="Arial"/>
        </w:rPr>
        <w:t xml:space="preserve"> </w:t>
      </w:r>
    </w:p>
    <w:p w:rsidR="00DB23B0" w:rsidRDefault="00DB23B0" w:rsidP="00DB23B0">
      <w:pPr>
        <w:pStyle w:val="ListParagraph"/>
        <w:numPr>
          <w:ilvl w:val="0"/>
          <w:numId w:val="4"/>
        </w:numPr>
        <w:rPr>
          <w:rFonts w:ascii="Arial" w:hAnsi="Arial" w:cs="Arial"/>
        </w:rPr>
      </w:pPr>
      <w:r>
        <w:rPr>
          <w:rFonts w:ascii="Arial" w:hAnsi="Arial" w:cs="Arial"/>
        </w:rPr>
        <w:t>Low-prep</w:t>
      </w:r>
    </w:p>
    <w:p w:rsidR="00DB23B0" w:rsidRDefault="00DB23B0" w:rsidP="00DB23B0">
      <w:pPr>
        <w:pStyle w:val="ListParagraph"/>
        <w:numPr>
          <w:ilvl w:val="0"/>
          <w:numId w:val="4"/>
        </w:numPr>
        <w:rPr>
          <w:rFonts w:ascii="Arial" w:hAnsi="Arial" w:cs="Arial"/>
        </w:rPr>
      </w:pPr>
      <w:r>
        <w:rPr>
          <w:rFonts w:ascii="Arial" w:hAnsi="Arial" w:cs="Arial"/>
        </w:rPr>
        <w:t>Easily adaptable</w:t>
      </w:r>
    </w:p>
    <w:p w:rsidR="00DB23B0" w:rsidRDefault="00DB23B0" w:rsidP="00DB23B0">
      <w:pPr>
        <w:pStyle w:val="ListParagraph"/>
        <w:numPr>
          <w:ilvl w:val="0"/>
          <w:numId w:val="4"/>
        </w:numPr>
        <w:rPr>
          <w:rFonts w:ascii="Arial" w:hAnsi="Arial" w:cs="Arial"/>
        </w:rPr>
      </w:pPr>
      <w:r>
        <w:rPr>
          <w:rFonts w:ascii="Arial" w:hAnsi="Arial" w:cs="Arial"/>
        </w:rPr>
        <w:t>Can adjust question type or product to challenge a diverse range of students and promote their success</w:t>
      </w:r>
      <w:r w:rsidR="000433F5">
        <w:rPr>
          <w:rFonts w:ascii="Arial" w:hAnsi="Arial" w:cs="Arial"/>
        </w:rPr>
        <w:t xml:space="preserve"> and growth</w:t>
      </w:r>
    </w:p>
    <w:p w:rsidR="00DB23B0" w:rsidRDefault="00DB23B0" w:rsidP="00DB23B0">
      <w:pPr>
        <w:rPr>
          <w:rFonts w:ascii="Arial" w:hAnsi="Arial" w:cs="Arial"/>
          <w:b/>
        </w:rPr>
      </w:pPr>
    </w:p>
    <w:p w:rsidR="00DB23B0" w:rsidRDefault="00DB23B0" w:rsidP="00DB23B0">
      <w:pPr>
        <w:rPr>
          <w:rFonts w:ascii="Arial" w:hAnsi="Arial" w:cs="Arial"/>
        </w:rPr>
      </w:pPr>
      <w:r>
        <w:rPr>
          <w:rFonts w:ascii="Arial" w:hAnsi="Arial" w:cs="Arial"/>
          <w:b/>
        </w:rPr>
        <w:t>Situations where the strategy is useful:</w:t>
      </w:r>
    </w:p>
    <w:p w:rsidR="00DB23B0" w:rsidRDefault="00DB23B0" w:rsidP="00DB23B0">
      <w:pPr>
        <w:pStyle w:val="ListParagraph"/>
        <w:numPr>
          <w:ilvl w:val="0"/>
          <w:numId w:val="1"/>
        </w:numPr>
        <w:rPr>
          <w:rFonts w:ascii="Arial" w:hAnsi="Arial" w:cs="Arial"/>
        </w:rPr>
      </w:pPr>
      <w:r>
        <w:rPr>
          <w:rFonts w:ascii="Arial" w:hAnsi="Arial" w:cs="Arial"/>
        </w:rPr>
        <w:t>Class discussions</w:t>
      </w:r>
    </w:p>
    <w:p w:rsidR="00DB23B0" w:rsidRDefault="00DB23B0" w:rsidP="00DB23B0">
      <w:pPr>
        <w:pStyle w:val="ListParagraph"/>
        <w:numPr>
          <w:ilvl w:val="0"/>
          <w:numId w:val="1"/>
        </w:numPr>
        <w:rPr>
          <w:rFonts w:ascii="Arial" w:hAnsi="Arial" w:cs="Arial"/>
        </w:rPr>
      </w:pPr>
      <w:r>
        <w:rPr>
          <w:rFonts w:ascii="Arial" w:hAnsi="Arial" w:cs="Arial"/>
        </w:rPr>
        <w:t>End-of-the chapter or unit assessments</w:t>
      </w:r>
    </w:p>
    <w:p w:rsidR="00DB23B0" w:rsidRDefault="00DB23B0" w:rsidP="00DB23B0">
      <w:pPr>
        <w:pStyle w:val="ListParagraph"/>
        <w:numPr>
          <w:ilvl w:val="0"/>
          <w:numId w:val="1"/>
        </w:numPr>
        <w:rPr>
          <w:rFonts w:ascii="Arial" w:hAnsi="Arial" w:cs="Arial"/>
        </w:rPr>
      </w:pPr>
      <w:r>
        <w:rPr>
          <w:rFonts w:ascii="Arial" w:hAnsi="Arial" w:cs="Arial"/>
        </w:rPr>
        <w:t>Small group work</w:t>
      </w:r>
    </w:p>
    <w:p w:rsidR="00DB23B0" w:rsidRDefault="00DB23B0" w:rsidP="00DB23B0">
      <w:pPr>
        <w:pStyle w:val="ListParagraph"/>
        <w:numPr>
          <w:ilvl w:val="0"/>
          <w:numId w:val="1"/>
        </w:numPr>
        <w:rPr>
          <w:rFonts w:ascii="Arial" w:hAnsi="Arial" w:cs="Arial"/>
        </w:rPr>
      </w:pPr>
      <w:r>
        <w:rPr>
          <w:rFonts w:ascii="Arial" w:hAnsi="Arial" w:cs="Arial"/>
        </w:rPr>
        <w:t>Projects</w:t>
      </w:r>
    </w:p>
    <w:p w:rsidR="00DB23B0" w:rsidRDefault="00DB23B0" w:rsidP="00DB23B0">
      <w:pPr>
        <w:pStyle w:val="ListParagraph"/>
        <w:numPr>
          <w:ilvl w:val="0"/>
          <w:numId w:val="1"/>
        </w:numPr>
        <w:rPr>
          <w:rFonts w:ascii="Arial" w:hAnsi="Arial" w:cs="Arial"/>
        </w:rPr>
      </w:pPr>
      <w:r>
        <w:rPr>
          <w:rFonts w:ascii="Arial" w:hAnsi="Arial" w:cs="Arial"/>
        </w:rPr>
        <w:t>Differentiating for readiness</w:t>
      </w:r>
    </w:p>
    <w:p w:rsidR="00DB23B0" w:rsidRDefault="00DB23B0" w:rsidP="00DB23B0">
      <w:pPr>
        <w:rPr>
          <w:rFonts w:ascii="Arial" w:hAnsi="Arial" w:cs="Arial"/>
        </w:rPr>
      </w:pPr>
    </w:p>
    <w:p w:rsidR="00DB23B0" w:rsidRDefault="00DB23B0" w:rsidP="00DB23B0">
      <w:pPr>
        <w:rPr>
          <w:rFonts w:ascii="Arial" w:hAnsi="Arial" w:cs="Arial"/>
        </w:rPr>
      </w:pPr>
      <w:r>
        <w:rPr>
          <w:rFonts w:ascii="Arial" w:hAnsi="Arial" w:cs="Arial"/>
          <w:b/>
        </w:rPr>
        <w:t>Examples:</w:t>
      </w:r>
    </w:p>
    <w:p w:rsidR="00DB23B0" w:rsidRDefault="00DB23B0" w:rsidP="00DB23B0">
      <w:pPr>
        <w:pStyle w:val="ListParagraph"/>
        <w:numPr>
          <w:ilvl w:val="0"/>
          <w:numId w:val="2"/>
        </w:numPr>
        <w:rPr>
          <w:rFonts w:ascii="Arial" w:hAnsi="Arial" w:cs="Arial"/>
        </w:rPr>
      </w:pPr>
      <w:r>
        <w:rPr>
          <w:rFonts w:ascii="Arial" w:hAnsi="Arial" w:cs="Arial"/>
        </w:rPr>
        <w:t>Bloom’s Revised Taxonomy</w:t>
      </w:r>
      <w:r w:rsidR="009B6E18">
        <w:rPr>
          <w:rFonts w:ascii="Arial" w:hAnsi="Arial" w:cs="Arial"/>
        </w:rPr>
        <w:t xml:space="preserve"> (Anderson &amp; Krathwohl, 2001)</w:t>
      </w:r>
    </w:p>
    <w:p w:rsidR="00DB23B0" w:rsidRDefault="00097A46" w:rsidP="00DB23B0">
      <w:pPr>
        <w:pStyle w:val="ListParagraph"/>
        <w:numPr>
          <w:ilvl w:val="0"/>
          <w:numId w:val="2"/>
        </w:numPr>
        <w:rPr>
          <w:rFonts w:ascii="Arial" w:hAnsi="Arial" w:cs="Arial"/>
        </w:rPr>
      </w:pPr>
      <w:r>
        <w:rPr>
          <w:rFonts w:ascii="Arial" w:hAnsi="Arial" w:cs="Arial"/>
        </w:rPr>
        <w:t xml:space="preserve">Provocative Questioning </w:t>
      </w:r>
    </w:p>
    <w:p w:rsidR="00DB23B0" w:rsidRDefault="00DB23B0" w:rsidP="00DB23B0">
      <w:pPr>
        <w:pStyle w:val="ListParagraph"/>
        <w:numPr>
          <w:ilvl w:val="0"/>
          <w:numId w:val="2"/>
        </w:numPr>
        <w:rPr>
          <w:rFonts w:ascii="Arial" w:hAnsi="Arial" w:cs="Arial"/>
        </w:rPr>
      </w:pPr>
      <w:r>
        <w:rPr>
          <w:rFonts w:ascii="Arial" w:hAnsi="Arial" w:cs="Arial"/>
        </w:rPr>
        <w:t>Socratic Questioning</w:t>
      </w:r>
    </w:p>
    <w:p w:rsidR="00DB23B0" w:rsidRDefault="00DB23B0" w:rsidP="00DB23B0">
      <w:pPr>
        <w:pStyle w:val="ListParagraph"/>
        <w:numPr>
          <w:ilvl w:val="0"/>
          <w:numId w:val="2"/>
        </w:numPr>
        <w:rPr>
          <w:rFonts w:ascii="Arial" w:hAnsi="Arial" w:cs="Arial"/>
        </w:rPr>
      </w:pPr>
      <w:r>
        <w:rPr>
          <w:rFonts w:ascii="Arial" w:hAnsi="Arial" w:cs="Arial"/>
        </w:rPr>
        <w:t>Applications:</w:t>
      </w:r>
    </w:p>
    <w:p w:rsidR="00DB23B0" w:rsidRDefault="00DB23B0" w:rsidP="00DB23B0">
      <w:pPr>
        <w:pStyle w:val="ListParagraph"/>
        <w:numPr>
          <w:ilvl w:val="1"/>
          <w:numId w:val="2"/>
        </w:numPr>
        <w:rPr>
          <w:rFonts w:ascii="Arial" w:hAnsi="Arial" w:cs="Arial"/>
        </w:rPr>
      </w:pPr>
      <w:r>
        <w:rPr>
          <w:rFonts w:ascii="Arial" w:hAnsi="Arial" w:cs="Arial"/>
        </w:rPr>
        <w:t>Tic-Tac-Toe</w:t>
      </w:r>
      <w:r w:rsidR="00F04BDA">
        <w:rPr>
          <w:rFonts w:ascii="Arial" w:hAnsi="Arial" w:cs="Arial"/>
        </w:rPr>
        <w:t xml:space="preserve"> (Winebrenner, 1992</w:t>
      </w:r>
      <w:r w:rsidR="00286166">
        <w:rPr>
          <w:rFonts w:ascii="Arial" w:hAnsi="Arial" w:cs="Arial"/>
        </w:rPr>
        <w:t>; Roberts &amp; Inman, 2009</w:t>
      </w:r>
      <w:r w:rsidR="00F04BDA">
        <w:rPr>
          <w:rFonts w:ascii="Arial" w:hAnsi="Arial" w:cs="Arial"/>
        </w:rPr>
        <w:t>)</w:t>
      </w:r>
    </w:p>
    <w:p w:rsidR="00DB23B0" w:rsidRDefault="00DB23B0" w:rsidP="00DB23B0">
      <w:pPr>
        <w:pStyle w:val="ListParagraph"/>
        <w:numPr>
          <w:ilvl w:val="1"/>
          <w:numId w:val="2"/>
        </w:numPr>
        <w:rPr>
          <w:rFonts w:ascii="Arial" w:hAnsi="Arial" w:cs="Arial"/>
        </w:rPr>
      </w:pPr>
      <w:r>
        <w:rPr>
          <w:rFonts w:ascii="Arial" w:hAnsi="Arial" w:cs="Arial"/>
        </w:rPr>
        <w:t>Cubes (G</w:t>
      </w:r>
      <w:r w:rsidR="00F753E4">
        <w:rPr>
          <w:rFonts w:ascii="Arial" w:hAnsi="Arial" w:cs="Arial"/>
        </w:rPr>
        <w:t>regory &amp; Chapman, 2002</w:t>
      </w:r>
      <w:r>
        <w:rPr>
          <w:rFonts w:ascii="Arial" w:hAnsi="Arial" w:cs="Arial"/>
        </w:rPr>
        <w:t>)</w:t>
      </w:r>
    </w:p>
    <w:p w:rsidR="00DB23B0" w:rsidRDefault="00DB23B0" w:rsidP="00DB23B0">
      <w:pPr>
        <w:pStyle w:val="ListParagraph"/>
        <w:numPr>
          <w:ilvl w:val="1"/>
          <w:numId w:val="2"/>
        </w:numPr>
        <w:rPr>
          <w:rFonts w:ascii="Arial" w:hAnsi="Arial" w:cs="Arial"/>
        </w:rPr>
      </w:pPr>
      <w:r>
        <w:rPr>
          <w:rFonts w:ascii="Arial" w:hAnsi="Arial" w:cs="Arial"/>
        </w:rPr>
        <w:t>Think-Dots</w:t>
      </w:r>
      <w:r w:rsidR="00F07AA5">
        <w:rPr>
          <w:rFonts w:ascii="Arial" w:hAnsi="Arial" w:cs="Arial"/>
        </w:rPr>
        <w:t xml:space="preserve"> (Brimijoin, </w:t>
      </w:r>
      <w:r w:rsidR="00B63F4B">
        <w:rPr>
          <w:rFonts w:ascii="Arial" w:hAnsi="Arial" w:cs="Arial"/>
        </w:rPr>
        <w:t>2005</w:t>
      </w:r>
      <w:r w:rsidR="00F07AA5">
        <w:rPr>
          <w:rFonts w:ascii="Arial" w:hAnsi="Arial" w:cs="Arial"/>
        </w:rPr>
        <w:t>)</w:t>
      </w:r>
    </w:p>
    <w:p w:rsidR="00DB23B0" w:rsidRDefault="00DB23B0" w:rsidP="00DB23B0">
      <w:pPr>
        <w:pStyle w:val="ListParagraph"/>
        <w:numPr>
          <w:ilvl w:val="1"/>
          <w:numId w:val="2"/>
        </w:numPr>
        <w:rPr>
          <w:rFonts w:ascii="Arial" w:hAnsi="Arial" w:cs="Arial"/>
        </w:rPr>
      </w:pPr>
      <w:r>
        <w:rPr>
          <w:rFonts w:ascii="Arial" w:hAnsi="Arial" w:cs="Arial"/>
        </w:rPr>
        <w:t>Tiered Assignments</w:t>
      </w:r>
      <w:r w:rsidR="00F753E4">
        <w:rPr>
          <w:rFonts w:ascii="Arial" w:hAnsi="Arial" w:cs="Arial"/>
        </w:rPr>
        <w:t xml:space="preserve"> (Tomlinson, </w:t>
      </w:r>
      <w:r w:rsidR="00E03FE7">
        <w:rPr>
          <w:rFonts w:ascii="Arial" w:hAnsi="Arial" w:cs="Arial"/>
        </w:rPr>
        <w:t>1999)</w:t>
      </w:r>
    </w:p>
    <w:p w:rsidR="00DB23B0" w:rsidRDefault="00DB23B0" w:rsidP="00DB23B0">
      <w:pPr>
        <w:rPr>
          <w:rFonts w:ascii="Arial" w:hAnsi="Arial" w:cs="Arial"/>
        </w:rPr>
      </w:pPr>
    </w:p>
    <w:p w:rsidR="00DB23B0" w:rsidRDefault="00DB23B0" w:rsidP="00DB23B0">
      <w:pPr>
        <w:rPr>
          <w:rFonts w:ascii="Arial" w:hAnsi="Arial" w:cs="Arial"/>
          <w:b/>
        </w:rPr>
      </w:pPr>
      <w:r>
        <w:rPr>
          <w:rFonts w:ascii="Arial" w:hAnsi="Arial" w:cs="Arial"/>
          <w:b/>
        </w:rPr>
        <w:t>Pointers:</w:t>
      </w:r>
    </w:p>
    <w:p w:rsidR="00DB23B0" w:rsidRPr="005A7DB5" w:rsidRDefault="00DB23B0" w:rsidP="00DB23B0">
      <w:pPr>
        <w:pStyle w:val="ListParagraph"/>
        <w:numPr>
          <w:ilvl w:val="0"/>
          <w:numId w:val="5"/>
        </w:numPr>
        <w:rPr>
          <w:rFonts w:ascii="Arial" w:hAnsi="Arial" w:cs="Arial"/>
          <w:b/>
        </w:rPr>
      </w:pPr>
      <w:r w:rsidRPr="00D14AC2">
        <w:rPr>
          <w:rFonts w:ascii="Arial" w:hAnsi="Arial" w:cs="Arial"/>
        </w:rPr>
        <w:t>Provide sufficient “wait time” (3-5 seconds) for student response</w:t>
      </w:r>
      <w:r w:rsidR="009737E5">
        <w:rPr>
          <w:rFonts w:ascii="Arial" w:hAnsi="Arial" w:cs="Arial"/>
        </w:rPr>
        <w:t xml:space="preserve"> to questions</w:t>
      </w:r>
    </w:p>
    <w:p w:rsidR="00DB23B0" w:rsidRPr="005A7DB5" w:rsidRDefault="00DB23B0" w:rsidP="00DB23B0">
      <w:pPr>
        <w:pStyle w:val="ListParagraph"/>
        <w:numPr>
          <w:ilvl w:val="0"/>
          <w:numId w:val="5"/>
        </w:numPr>
        <w:rPr>
          <w:rFonts w:ascii="Arial" w:hAnsi="Arial" w:cs="Arial"/>
        </w:rPr>
      </w:pPr>
      <w:r>
        <w:rPr>
          <w:rFonts w:ascii="Arial" w:hAnsi="Arial" w:cs="Arial"/>
        </w:rPr>
        <w:t>Have a system/systems for ensuring you call on all students equally</w:t>
      </w:r>
      <w:r w:rsidR="009737E5">
        <w:rPr>
          <w:rFonts w:ascii="Arial" w:hAnsi="Arial" w:cs="Arial"/>
        </w:rPr>
        <w:t xml:space="preserve"> during discussions</w:t>
      </w:r>
    </w:p>
    <w:p w:rsidR="00DB23B0" w:rsidRPr="004B57C3" w:rsidRDefault="00DB23B0" w:rsidP="00DB23B0">
      <w:pPr>
        <w:pStyle w:val="ListParagraph"/>
        <w:numPr>
          <w:ilvl w:val="0"/>
          <w:numId w:val="3"/>
        </w:numPr>
        <w:rPr>
          <w:rFonts w:ascii="Arial" w:hAnsi="Arial" w:cs="Arial"/>
        </w:rPr>
      </w:pPr>
      <w:r>
        <w:rPr>
          <w:rFonts w:ascii="Arial" w:hAnsi="Arial" w:cs="Arial"/>
        </w:rPr>
        <w:t>Support students that may not have had a lot of exposure to higher level questions or tasks</w:t>
      </w:r>
    </w:p>
    <w:p w:rsidR="00DB23B0" w:rsidRDefault="00081A75" w:rsidP="00DB23B0">
      <w:pPr>
        <w:pStyle w:val="ListParagraph"/>
        <w:numPr>
          <w:ilvl w:val="0"/>
          <w:numId w:val="3"/>
        </w:numPr>
        <w:rPr>
          <w:rFonts w:ascii="Arial" w:hAnsi="Arial" w:cs="Arial"/>
        </w:rPr>
      </w:pPr>
      <w:r>
        <w:rPr>
          <w:rFonts w:ascii="Arial" w:hAnsi="Arial" w:cs="Arial"/>
        </w:rPr>
        <w:t>Be prepared:  S</w:t>
      </w:r>
      <w:r w:rsidR="00DB23B0">
        <w:rPr>
          <w:rFonts w:ascii="Arial" w:hAnsi="Arial" w:cs="Arial"/>
        </w:rPr>
        <w:t xml:space="preserve">tudents with gifts and talents </w:t>
      </w:r>
      <w:r>
        <w:rPr>
          <w:rFonts w:ascii="Arial" w:hAnsi="Arial" w:cs="Arial"/>
        </w:rPr>
        <w:t>may opt</w:t>
      </w:r>
      <w:r w:rsidR="00DB23B0">
        <w:rPr>
          <w:rFonts w:ascii="Arial" w:hAnsi="Arial" w:cs="Arial"/>
        </w:rPr>
        <w:t xml:space="preserve"> out of more complex work when given choice</w:t>
      </w:r>
    </w:p>
    <w:p w:rsidR="00DB23B0" w:rsidRDefault="00DB23B0" w:rsidP="00DB23B0">
      <w:pPr>
        <w:pStyle w:val="ListParagraph"/>
        <w:numPr>
          <w:ilvl w:val="0"/>
          <w:numId w:val="3"/>
        </w:numPr>
        <w:rPr>
          <w:rFonts w:ascii="Arial" w:hAnsi="Arial" w:cs="Arial"/>
        </w:rPr>
      </w:pPr>
      <w:r>
        <w:rPr>
          <w:rFonts w:ascii="Arial" w:hAnsi="Arial" w:cs="Arial"/>
        </w:rPr>
        <w:t>Be prepared</w:t>
      </w:r>
      <w:r w:rsidR="00081A75">
        <w:rPr>
          <w:rFonts w:ascii="Arial" w:hAnsi="Arial" w:cs="Arial"/>
        </w:rPr>
        <w:t>: S</w:t>
      </w:r>
      <w:r>
        <w:rPr>
          <w:rFonts w:ascii="Arial" w:hAnsi="Arial" w:cs="Arial"/>
        </w:rPr>
        <w:t xml:space="preserve">tudents </w:t>
      </w:r>
      <w:r w:rsidR="00081A75">
        <w:rPr>
          <w:rFonts w:ascii="Arial" w:hAnsi="Arial" w:cs="Arial"/>
        </w:rPr>
        <w:t>may notice there are different</w:t>
      </w:r>
      <w:r>
        <w:rPr>
          <w:rFonts w:ascii="Arial" w:hAnsi="Arial" w:cs="Arial"/>
        </w:rPr>
        <w:t xml:space="preserve"> assignments</w:t>
      </w:r>
    </w:p>
    <w:p w:rsidR="00DB23B0" w:rsidRDefault="00DB23B0" w:rsidP="00DB23B0">
      <w:pPr>
        <w:rPr>
          <w:rFonts w:ascii="Arial" w:hAnsi="Arial" w:cs="Arial"/>
        </w:rPr>
      </w:pPr>
    </w:p>
    <w:p w:rsidR="00F04BDA" w:rsidRDefault="00F04BDA">
      <w:pPr>
        <w:rPr>
          <w:rFonts w:ascii="Arial" w:hAnsi="Arial" w:cs="Arial"/>
          <w:b/>
        </w:rPr>
      </w:pPr>
    </w:p>
    <w:p w:rsidR="00CF6C0E" w:rsidRDefault="00CF6C0E">
      <w:pPr>
        <w:rPr>
          <w:rFonts w:ascii="Arial" w:hAnsi="Arial" w:cs="Arial"/>
        </w:rPr>
      </w:pPr>
    </w:p>
    <w:p w:rsidR="00F04BDA" w:rsidRDefault="00F04BDA" w:rsidP="00F04BDA">
      <w:pPr>
        <w:jc w:val="center"/>
        <w:rPr>
          <w:rFonts w:ascii="Arial" w:hAnsi="Arial" w:cs="Arial"/>
          <w:b/>
        </w:rPr>
      </w:pPr>
      <w:r>
        <w:rPr>
          <w:rFonts w:ascii="Arial" w:hAnsi="Arial" w:cs="Arial"/>
          <w:b/>
        </w:rPr>
        <w:lastRenderedPageBreak/>
        <w:t>References</w:t>
      </w:r>
      <w:r w:rsidR="000C1CB8">
        <w:rPr>
          <w:rFonts w:ascii="Arial" w:hAnsi="Arial" w:cs="Arial"/>
          <w:b/>
        </w:rPr>
        <w:t>/Resources</w:t>
      </w:r>
    </w:p>
    <w:p w:rsidR="00F753E4" w:rsidRDefault="00F753E4" w:rsidP="00F04BDA">
      <w:pPr>
        <w:jc w:val="center"/>
        <w:rPr>
          <w:rFonts w:ascii="Arial" w:hAnsi="Arial" w:cs="Arial"/>
          <w:b/>
        </w:rPr>
      </w:pPr>
    </w:p>
    <w:p w:rsidR="00A31395" w:rsidRDefault="00A31395" w:rsidP="00385205">
      <w:pPr>
        <w:autoSpaceDE w:val="0"/>
        <w:autoSpaceDN w:val="0"/>
        <w:adjustRightInd w:val="0"/>
        <w:rPr>
          <w:rFonts w:ascii="Arial" w:hAnsi="Arial" w:cs="Arial"/>
        </w:rPr>
      </w:pPr>
    </w:p>
    <w:p w:rsidR="00A31395" w:rsidRPr="00A31395" w:rsidRDefault="0078435B" w:rsidP="00385205">
      <w:pPr>
        <w:autoSpaceDE w:val="0"/>
        <w:autoSpaceDN w:val="0"/>
        <w:adjustRightInd w:val="0"/>
        <w:rPr>
          <w:rFonts w:ascii="Arial" w:hAnsi="Arial" w:cs="Arial"/>
          <w:i/>
          <w:color w:val="000000"/>
          <w:sz w:val="25"/>
          <w:szCs w:val="25"/>
        </w:rPr>
      </w:pPr>
      <w:r>
        <w:rPr>
          <w:rFonts w:ascii="Arial" w:hAnsi="Arial" w:cs="Arial"/>
          <w:color w:val="000000"/>
          <w:sz w:val="25"/>
          <w:szCs w:val="25"/>
        </w:rPr>
        <w:t>Anderson, L. W., and</w:t>
      </w:r>
      <w:r w:rsidR="00A31395">
        <w:rPr>
          <w:rFonts w:ascii="Arial" w:hAnsi="Arial" w:cs="Arial"/>
          <w:color w:val="000000"/>
          <w:sz w:val="25"/>
          <w:szCs w:val="25"/>
        </w:rPr>
        <w:t xml:space="preserve"> Krathwohl, D. R. (Eds.). (2001). </w:t>
      </w:r>
      <w:r w:rsidR="00A31395" w:rsidRPr="00A31395">
        <w:rPr>
          <w:rFonts w:ascii="Arial" w:hAnsi="Arial" w:cs="Arial"/>
          <w:i/>
          <w:color w:val="000000"/>
          <w:sz w:val="25"/>
          <w:szCs w:val="25"/>
        </w:rPr>
        <w:t xml:space="preserve">A taxonomy for learning, teaching </w:t>
      </w:r>
    </w:p>
    <w:p w:rsidR="00A31395" w:rsidRPr="00A31395" w:rsidRDefault="00A31395" w:rsidP="00385205">
      <w:pPr>
        <w:autoSpaceDE w:val="0"/>
        <w:autoSpaceDN w:val="0"/>
        <w:adjustRightInd w:val="0"/>
        <w:rPr>
          <w:rFonts w:ascii="Arial" w:hAnsi="Arial" w:cs="Arial"/>
          <w:i/>
          <w:color w:val="000000"/>
          <w:sz w:val="25"/>
          <w:szCs w:val="25"/>
        </w:rPr>
      </w:pPr>
      <w:r w:rsidRPr="00A31395">
        <w:rPr>
          <w:rFonts w:ascii="Arial" w:hAnsi="Arial" w:cs="Arial"/>
          <w:i/>
          <w:color w:val="000000"/>
          <w:sz w:val="25"/>
          <w:szCs w:val="25"/>
        </w:rPr>
        <w:t xml:space="preserve">   </w:t>
      </w:r>
      <w:r w:rsidR="00953955">
        <w:rPr>
          <w:rFonts w:ascii="Arial" w:hAnsi="Arial" w:cs="Arial"/>
          <w:i/>
          <w:color w:val="000000"/>
          <w:sz w:val="25"/>
          <w:szCs w:val="25"/>
        </w:rPr>
        <w:t xml:space="preserve">and </w:t>
      </w:r>
      <w:r w:rsidRPr="00A31395">
        <w:rPr>
          <w:rFonts w:ascii="Arial" w:hAnsi="Arial" w:cs="Arial"/>
          <w:i/>
          <w:color w:val="000000"/>
          <w:sz w:val="25"/>
          <w:szCs w:val="25"/>
        </w:rPr>
        <w:t xml:space="preserve">assessing: A revision of Bloom's Taxonomy of educational objectives: Complete </w:t>
      </w:r>
    </w:p>
    <w:p w:rsidR="00A31395" w:rsidRDefault="00A31395" w:rsidP="00385205">
      <w:pPr>
        <w:autoSpaceDE w:val="0"/>
        <w:autoSpaceDN w:val="0"/>
        <w:adjustRightInd w:val="0"/>
        <w:rPr>
          <w:rFonts w:ascii="Arial" w:hAnsi="Arial" w:cs="Arial"/>
          <w:color w:val="000000"/>
          <w:sz w:val="25"/>
          <w:szCs w:val="25"/>
        </w:rPr>
      </w:pPr>
      <w:r>
        <w:rPr>
          <w:rFonts w:ascii="Arial" w:hAnsi="Arial" w:cs="Arial"/>
          <w:color w:val="000000"/>
          <w:sz w:val="25"/>
          <w:szCs w:val="25"/>
        </w:rPr>
        <w:t xml:space="preserve">   </w:t>
      </w:r>
      <w:r w:rsidR="00953955" w:rsidRPr="00953955">
        <w:rPr>
          <w:rFonts w:ascii="Arial" w:hAnsi="Arial" w:cs="Arial"/>
          <w:i/>
          <w:color w:val="000000"/>
          <w:sz w:val="25"/>
          <w:szCs w:val="25"/>
        </w:rPr>
        <w:t>edition.</w:t>
      </w:r>
      <w:r w:rsidR="00953955">
        <w:rPr>
          <w:rFonts w:ascii="Arial" w:hAnsi="Arial" w:cs="Arial"/>
          <w:color w:val="000000"/>
          <w:sz w:val="25"/>
          <w:szCs w:val="25"/>
        </w:rPr>
        <w:t xml:space="preserve">  </w:t>
      </w:r>
      <w:r>
        <w:rPr>
          <w:rFonts w:ascii="Arial" w:hAnsi="Arial" w:cs="Arial"/>
          <w:color w:val="000000"/>
          <w:sz w:val="25"/>
          <w:szCs w:val="25"/>
        </w:rPr>
        <w:t>New York : Longman.</w:t>
      </w:r>
    </w:p>
    <w:p w:rsidR="000C1CB8" w:rsidRDefault="000C1CB8" w:rsidP="00385205">
      <w:pPr>
        <w:autoSpaceDE w:val="0"/>
        <w:autoSpaceDN w:val="0"/>
        <w:adjustRightInd w:val="0"/>
        <w:rPr>
          <w:rFonts w:ascii="Arial" w:hAnsi="Arial" w:cs="Arial"/>
          <w:color w:val="000000"/>
          <w:sz w:val="25"/>
          <w:szCs w:val="25"/>
        </w:rPr>
      </w:pPr>
    </w:p>
    <w:p w:rsidR="000C1CB8" w:rsidRDefault="000C1CB8" w:rsidP="000C1CB8">
      <w:pPr>
        <w:rPr>
          <w:rFonts w:ascii="Arial" w:hAnsi="Arial" w:cs="Arial"/>
        </w:rPr>
      </w:pPr>
      <w:r>
        <w:rPr>
          <w:rFonts w:ascii="Arial" w:hAnsi="Arial" w:cs="Arial"/>
        </w:rPr>
        <w:t xml:space="preserve">Author unknown. (n.d.).  </w:t>
      </w:r>
      <w:r>
        <w:rPr>
          <w:rFonts w:ascii="Arial" w:hAnsi="Arial" w:cs="Arial"/>
          <w:i/>
        </w:rPr>
        <w:t>Cubing and think dots.</w:t>
      </w:r>
      <w:r>
        <w:rPr>
          <w:rFonts w:ascii="Arial" w:hAnsi="Arial" w:cs="Arial"/>
        </w:rPr>
        <w:t xml:space="preserve">  Retrieved from</w:t>
      </w:r>
    </w:p>
    <w:p w:rsidR="000C1CB8" w:rsidRDefault="000C1CB8" w:rsidP="000C1CB8">
      <w:pPr>
        <w:rPr>
          <w:rFonts w:ascii="Arial" w:hAnsi="Arial" w:cs="Arial"/>
        </w:rPr>
      </w:pPr>
      <w:r>
        <w:rPr>
          <w:rFonts w:ascii="Arial" w:hAnsi="Arial" w:cs="Arial"/>
        </w:rPr>
        <w:t xml:space="preserve">    </w:t>
      </w:r>
      <w:hyperlink r:id="rId5" w:history="1">
        <w:r w:rsidRPr="00F06441">
          <w:rPr>
            <w:rStyle w:val="Hyperlink"/>
            <w:rFonts w:ascii="Arial" w:hAnsi="Arial" w:cs="Arial"/>
          </w:rPr>
          <w:t>http://www.lcps.k12.nm.us/Departments/SPED/AES/Differentiation/nagc_cubing__think_</w:t>
        </w:r>
      </w:hyperlink>
    </w:p>
    <w:p w:rsidR="000C1CB8" w:rsidRPr="00777503" w:rsidRDefault="000C1CB8" w:rsidP="000C1CB8">
      <w:pPr>
        <w:rPr>
          <w:rFonts w:ascii="Arial" w:hAnsi="Arial" w:cs="Arial"/>
          <w:color w:val="0000FF"/>
          <w:u w:val="single"/>
        </w:rPr>
      </w:pPr>
      <w:r>
        <w:rPr>
          <w:rFonts w:ascii="Arial" w:hAnsi="Arial" w:cs="Arial"/>
        </w:rPr>
        <w:t xml:space="preserve">    </w:t>
      </w:r>
      <w:r w:rsidRPr="00777503">
        <w:rPr>
          <w:rFonts w:ascii="Arial" w:hAnsi="Arial" w:cs="Arial"/>
          <w:color w:val="0000FF"/>
          <w:u w:val="single"/>
        </w:rPr>
        <w:t>dots.pdf.</w:t>
      </w:r>
    </w:p>
    <w:p w:rsidR="00A31395" w:rsidRDefault="00A31395" w:rsidP="00385205">
      <w:pPr>
        <w:autoSpaceDE w:val="0"/>
        <w:autoSpaceDN w:val="0"/>
        <w:adjustRightInd w:val="0"/>
        <w:rPr>
          <w:rFonts w:ascii="Arial" w:hAnsi="Arial" w:cs="Arial"/>
        </w:rPr>
      </w:pPr>
    </w:p>
    <w:p w:rsidR="00385205" w:rsidRPr="00385205" w:rsidRDefault="00235B1B" w:rsidP="00385205">
      <w:pPr>
        <w:autoSpaceDE w:val="0"/>
        <w:autoSpaceDN w:val="0"/>
        <w:adjustRightInd w:val="0"/>
        <w:rPr>
          <w:rFonts w:ascii="Arial" w:eastAsia="Calibri" w:hAnsi="Arial" w:cs="Arial"/>
          <w:i/>
        </w:rPr>
      </w:pPr>
      <w:r w:rsidRPr="00385205">
        <w:rPr>
          <w:rFonts w:ascii="Arial" w:hAnsi="Arial" w:cs="Arial"/>
        </w:rPr>
        <w:t>Brimijoin, K</w:t>
      </w:r>
      <w:r w:rsidR="00B63F4B">
        <w:rPr>
          <w:rFonts w:ascii="Arial" w:hAnsi="Arial" w:cs="Arial"/>
        </w:rPr>
        <w:t>. (2005</w:t>
      </w:r>
      <w:r w:rsidRPr="00385205">
        <w:rPr>
          <w:rFonts w:ascii="Arial" w:hAnsi="Arial" w:cs="Arial"/>
        </w:rPr>
        <w:t xml:space="preserve">).  </w:t>
      </w:r>
      <w:r w:rsidR="00385205" w:rsidRPr="00385205">
        <w:rPr>
          <w:rFonts w:ascii="Arial" w:eastAsia="Calibri" w:hAnsi="Arial" w:cs="Arial"/>
        </w:rPr>
        <w:t xml:space="preserve">Differentiation and high-stakes testing: An oxymoron?  </w:t>
      </w:r>
      <w:r w:rsidR="00385205" w:rsidRPr="00385205">
        <w:rPr>
          <w:rFonts w:ascii="Arial" w:eastAsia="Calibri" w:hAnsi="Arial" w:cs="Arial"/>
          <w:i/>
        </w:rPr>
        <w:t>Theory into</w:t>
      </w:r>
    </w:p>
    <w:p w:rsidR="00235B1B" w:rsidRDefault="00385205" w:rsidP="00385205">
      <w:pPr>
        <w:autoSpaceDE w:val="0"/>
        <w:autoSpaceDN w:val="0"/>
        <w:adjustRightInd w:val="0"/>
        <w:rPr>
          <w:rFonts w:ascii="Arial" w:eastAsia="Calibri" w:hAnsi="Arial" w:cs="Arial"/>
        </w:rPr>
      </w:pPr>
      <w:r w:rsidRPr="00385205">
        <w:rPr>
          <w:rFonts w:ascii="Arial" w:eastAsia="Calibri" w:hAnsi="Arial" w:cs="Arial"/>
          <w:i/>
        </w:rPr>
        <w:t xml:space="preserve">    Practice, 44</w:t>
      </w:r>
      <w:r w:rsidRPr="00385205">
        <w:rPr>
          <w:rFonts w:ascii="Arial" w:eastAsia="Calibri" w:hAnsi="Arial" w:cs="Arial"/>
        </w:rPr>
        <w:t>(3), 254-261.</w:t>
      </w:r>
    </w:p>
    <w:p w:rsidR="0078435B" w:rsidRDefault="0078435B" w:rsidP="00385205">
      <w:pPr>
        <w:autoSpaceDE w:val="0"/>
        <w:autoSpaceDN w:val="0"/>
        <w:adjustRightInd w:val="0"/>
        <w:rPr>
          <w:rFonts w:ascii="Arial" w:eastAsia="Calibri" w:hAnsi="Arial" w:cs="Arial"/>
        </w:rPr>
      </w:pPr>
    </w:p>
    <w:p w:rsidR="0078435B" w:rsidRDefault="0078435B" w:rsidP="00385205">
      <w:pPr>
        <w:autoSpaceDE w:val="0"/>
        <w:autoSpaceDN w:val="0"/>
        <w:adjustRightInd w:val="0"/>
        <w:rPr>
          <w:rFonts w:ascii="Arial" w:eastAsia="Calibri" w:hAnsi="Arial" w:cs="Arial"/>
          <w:i/>
        </w:rPr>
      </w:pPr>
      <w:r>
        <w:rPr>
          <w:rFonts w:ascii="Arial" w:eastAsia="Calibri" w:hAnsi="Arial" w:cs="Arial"/>
        </w:rPr>
        <w:t xml:space="preserve">Gregory, G.H. and Chapman, C. (2002). </w:t>
      </w:r>
      <w:r>
        <w:rPr>
          <w:rFonts w:ascii="Arial" w:eastAsia="Calibri" w:hAnsi="Arial" w:cs="Arial"/>
          <w:i/>
        </w:rPr>
        <w:t>Differentiated instructional strategies:  One size</w:t>
      </w:r>
    </w:p>
    <w:p w:rsidR="0078435B" w:rsidRPr="0078435B" w:rsidRDefault="0078435B" w:rsidP="00385205">
      <w:pPr>
        <w:autoSpaceDE w:val="0"/>
        <w:autoSpaceDN w:val="0"/>
        <w:adjustRightInd w:val="0"/>
        <w:rPr>
          <w:rFonts w:ascii="Arial" w:eastAsia="Calibri" w:hAnsi="Arial" w:cs="Arial"/>
          <w:i/>
        </w:rPr>
      </w:pPr>
      <w:r>
        <w:rPr>
          <w:rFonts w:ascii="Arial" w:eastAsia="Calibri" w:hAnsi="Arial" w:cs="Arial"/>
          <w:i/>
        </w:rPr>
        <w:t xml:space="preserve">    Doesn’t fit allI.  </w:t>
      </w:r>
      <w:r w:rsidRPr="0078435B">
        <w:rPr>
          <w:rFonts w:ascii="Arial" w:eastAsia="Calibri" w:hAnsi="Arial" w:cs="Arial"/>
        </w:rPr>
        <w:t>Thousand Oaks, CA</w:t>
      </w:r>
      <w:r>
        <w:rPr>
          <w:rFonts w:ascii="Arial" w:eastAsia="Calibri" w:hAnsi="Arial" w:cs="Arial"/>
        </w:rPr>
        <w:t xml:space="preserve">: </w:t>
      </w:r>
      <w:r w:rsidRPr="0078435B">
        <w:rPr>
          <w:rFonts w:ascii="Arial" w:eastAsia="Calibri" w:hAnsi="Arial" w:cs="Arial"/>
        </w:rPr>
        <w:t xml:space="preserve"> Corwin Press.</w:t>
      </w:r>
    </w:p>
    <w:p w:rsidR="00560062" w:rsidRDefault="00560062" w:rsidP="00385205">
      <w:pPr>
        <w:autoSpaceDE w:val="0"/>
        <w:autoSpaceDN w:val="0"/>
        <w:adjustRightInd w:val="0"/>
        <w:rPr>
          <w:rFonts w:ascii="Arial" w:eastAsia="Calibri" w:hAnsi="Arial" w:cs="Arial"/>
        </w:rPr>
      </w:pPr>
    </w:p>
    <w:p w:rsidR="00560062" w:rsidRDefault="00560062" w:rsidP="00385205">
      <w:pPr>
        <w:autoSpaceDE w:val="0"/>
        <w:autoSpaceDN w:val="0"/>
        <w:adjustRightInd w:val="0"/>
        <w:rPr>
          <w:rFonts w:ascii="Arial" w:eastAsia="Calibri" w:hAnsi="Arial" w:cs="Arial"/>
        </w:rPr>
      </w:pPr>
      <w:r>
        <w:rPr>
          <w:rFonts w:ascii="Arial" w:eastAsia="Calibri" w:hAnsi="Arial" w:cs="Arial"/>
        </w:rPr>
        <w:t xml:space="preserve">Guilford, J.P. (1967).  </w:t>
      </w:r>
      <w:r>
        <w:rPr>
          <w:rFonts w:ascii="Arial" w:eastAsia="Calibri" w:hAnsi="Arial" w:cs="Arial"/>
          <w:i/>
        </w:rPr>
        <w:t>The nature of human intelligence.</w:t>
      </w:r>
      <w:r>
        <w:rPr>
          <w:rFonts w:ascii="Arial" w:eastAsia="Calibri" w:hAnsi="Arial" w:cs="Arial"/>
        </w:rPr>
        <w:t xml:space="preserve">  New York:  McGraw-Hill.</w:t>
      </w:r>
    </w:p>
    <w:p w:rsidR="000C1CB8" w:rsidRDefault="000C1CB8" w:rsidP="00385205">
      <w:pPr>
        <w:autoSpaceDE w:val="0"/>
        <w:autoSpaceDN w:val="0"/>
        <w:adjustRightInd w:val="0"/>
        <w:rPr>
          <w:rFonts w:ascii="Arial" w:eastAsia="Calibri" w:hAnsi="Arial" w:cs="Arial"/>
        </w:rPr>
      </w:pPr>
    </w:p>
    <w:p w:rsidR="000C1CB8" w:rsidRDefault="000C1CB8" w:rsidP="000C1CB8">
      <w:pPr>
        <w:rPr>
          <w:rFonts w:ascii="Arial" w:hAnsi="Arial" w:cs="Arial"/>
          <w:i/>
          <w:iCs/>
        </w:rPr>
      </w:pPr>
      <w:r w:rsidRPr="00937E68">
        <w:rPr>
          <w:rFonts w:ascii="Arial" w:hAnsi="Arial" w:cs="Arial"/>
        </w:rPr>
        <w:t xml:space="preserve">Kingore, B. (Winter 2006). Tiered instruction: Beginning the process. </w:t>
      </w:r>
      <w:r w:rsidRPr="00937E68">
        <w:rPr>
          <w:rFonts w:ascii="Arial" w:hAnsi="Arial" w:cs="Arial"/>
          <w:i/>
          <w:iCs/>
        </w:rPr>
        <w:t xml:space="preserve">Teaching for High </w:t>
      </w:r>
    </w:p>
    <w:p w:rsidR="000C1CB8" w:rsidRDefault="000C1CB8" w:rsidP="000C1CB8">
      <w:pPr>
        <w:rPr>
          <w:rFonts w:ascii="Arial" w:hAnsi="Arial" w:cs="Arial"/>
        </w:rPr>
      </w:pPr>
      <w:r>
        <w:rPr>
          <w:rFonts w:ascii="Arial" w:hAnsi="Arial" w:cs="Arial"/>
          <w:i/>
          <w:iCs/>
        </w:rPr>
        <w:t xml:space="preserve">    </w:t>
      </w:r>
      <w:r w:rsidRPr="00937E68">
        <w:rPr>
          <w:rFonts w:ascii="Arial" w:hAnsi="Arial" w:cs="Arial"/>
          <w:i/>
          <w:iCs/>
        </w:rPr>
        <w:t>Potential</w:t>
      </w:r>
      <w:r w:rsidRPr="00937E68">
        <w:rPr>
          <w:rFonts w:ascii="Arial" w:hAnsi="Arial" w:cs="Arial"/>
        </w:rPr>
        <w:t>, 5-6</w:t>
      </w:r>
      <w:r>
        <w:rPr>
          <w:rFonts w:ascii="Arial" w:hAnsi="Arial" w:cs="Arial"/>
        </w:rPr>
        <w:t>.</w:t>
      </w:r>
    </w:p>
    <w:p w:rsidR="000C1CB8" w:rsidRPr="00560062" w:rsidRDefault="000C1CB8" w:rsidP="00385205">
      <w:pPr>
        <w:autoSpaceDE w:val="0"/>
        <w:autoSpaceDN w:val="0"/>
        <w:adjustRightInd w:val="0"/>
        <w:rPr>
          <w:rFonts w:ascii="Arial" w:eastAsia="Calibri" w:hAnsi="Arial" w:cs="Arial"/>
        </w:rPr>
      </w:pPr>
    </w:p>
    <w:p w:rsidR="000C1CB8" w:rsidRDefault="000C1CB8" w:rsidP="000C1CB8">
      <w:pPr>
        <w:rPr>
          <w:rFonts w:ascii="Arial" w:hAnsi="Arial" w:cs="Arial"/>
        </w:rPr>
      </w:pPr>
      <w:r>
        <w:rPr>
          <w:rFonts w:ascii="Arial" w:hAnsi="Arial" w:cs="Arial"/>
        </w:rPr>
        <w:t xml:space="preserve">Roanoke County Public Schools (2007).  </w:t>
      </w:r>
      <w:r>
        <w:rPr>
          <w:rFonts w:ascii="Arial" w:hAnsi="Arial" w:cs="Arial"/>
          <w:i/>
        </w:rPr>
        <w:t xml:space="preserve">Think-tac-toe.  </w:t>
      </w:r>
      <w:r>
        <w:rPr>
          <w:rFonts w:ascii="Arial" w:hAnsi="Arial" w:cs="Arial"/>
        </w:rPr>
        <w:t>Retrieved from</w:t>
      </w:r>
    </w:p>
    <w:p w:rsidR="000C1CB8" w:rsidRDefault="000C1CB8" w:rsidP="000C1CB8">
      <w:pPr>
        <w:rPr>
          <w:rFonts w:ascii="Arial" w:hAnsi="Arial" w:cs="Arial"/>
        </w:rPr>
      </w:pPr>
      <w:r>
        <w:rPr>
          <w:rFonts w:ascii="Arial" w:hAnsi="Arial" w:cs="Arial"/>
        </w:rPr>
        <w:t xml:space="preserve">    </w:t>
      </w:r>
      <w:hyperlink r:id="rId6" w:history="1">
        <w:r w:rsidRPr="00F06441">
          <w:rPr>
            <w:rStyle w:val="Hyperlink"/>
            <w:rFonts w:ascii="Arial" w:hAnsi="Arial" w:cs="Arial"/>
          </w:rPr>
          <w:t>http://thevergeofyearning.com/forms/finished%20gifted%20web/ttt/INTRO.htm</w:t>
        </w:r>
      </w:hyperlink>
      <w:r>
        <w:rPr>
          <w:rFonts w:ascii="Arial" w:hAnsi="Arial" w:cs="Arial"/>
        </w:rPr>
        <w:t>.</w:t>
      </w:r>
    </w:p>
    <w:p w:rsidR="00737EB8" w:rsidRDefault="00737EB8" w:rsidP="000C1CB8">
      <w:pPr>
        <w:rPr>
          <w:rFonts w:ascii="Arial" w:hAnsi="Arial" w:cs="Arial"/>
        </w:rPr>
      </w:pPr>
    </w:p>
    <w:p w:rsidR="00531049" w:rsidRDefault="00531049" w:rsidP="00531049">
      <w:pPr>
        <w:rPr>
          <w:rFonts w:ascii="Arial" w:hAnsi="Arial" w:cs="Arial"/>
          <w:i/>
        </w:rPr>
      </w:pPr>
      <w:r>
        <w:rPr>
          <w:rFonts w:ascii="Arial" w:hAnsi="Arial" w:cs="Arial"/>
        </w:rPr>
        <w:t xml:space="preserve">Roberts, J.L. and Inman, T.F., Eds. (2009).  </w:t>
      </w:r>
      <w:r>
        <w:rPr>
          <w:rFonts w:ascii="Arial" w:hAnsi="Arial" w:cs="Arial"/>
          <w:i/>
        </w:rPr>
        <w:t xml:space="preserve">Strategies for differentiating instruction:  Best </w:t>
      </w:r>
    </w:p>
    <w:p w:rsidR="00531049" w:rsidRDefault="00531049" w:rsidP="00531049">
      <w:pPr>
        <w:rPr>
          <w:rFonts w:ascii="Arial" w:hAnsi="Arial" w:cs="Arial"/>
        </w:rPr>
      </w:pPr>
      <w:r>
        <w:rPr>
          <w:rFonts w:ascii="Arial" w:hAnsi="Arial" w:cs="Arial"/>
          <w:i/>
        </w:rPr>
        <w:t xml:space="preserve">    practices for the classroom. </w:t>
      </w:r>
      <w:r>
        <w:rPr>
          <w:rFonts w:ascii="Arial" w:hAnsi="Arial" w:cs="Arial"/>
        </w:rPr>
        <w:t>Waco, TX:  Prufrock Press.</w:t>
      </w:r>
    </w:p>
    <w:p w:rsidR="00235B1B" w:rsidRDefault="00235B1B" w:rsidP="00F753E4">
      <w:pPr>
        <w:rPr>
          <w:rFonts w:ascii="Arial" w:hAnsi="Arial" w:cs="Arial"/>
        </w:rPr>
      </w:pPr>
    </w:p>
    <w:p w:rsidR="00E03FE7" w:rsidRDefault="00F753E4" w:rsidP="00F753E4">
      <w:pPr>
        <w:rPr>
          <w:rFonts w:ascii="Arial" w:hAnsi="Arial" w:cs="Arial"/>
          <w:i/>
        </w:rPr>
      </w:pPr>
      <w:r>
        <w:rPr>
          <w:rFonts w:ascii="Arial" w:hAnsi="Arial" w:cs="Arial"/>
        </w:rPr>
        <w:t>Tomlinson, C.A.  (</w:t>
      </w:r>
      <w:r w:rsidR="00E03FE7">
        <w:rPr>
          <w:rFonts w:ascii="Arial" w:hAnsi="Arial" w:cs="Arial"/>
        </w:rPr>
        <w:t>1999</w:t>
      </w:r>
      <w:r w:rsidR="002E0985">
        <w:rPr>
          <w:rFonts w:ascii="Arial" w:hAnsi="Arial" w:cs="Arial"/>
        </w:rPr>
        <w:t xml:space="preserve">). </w:t>
      </w:r>
      <w:r w:rsidR="00E03FE7">
        <w:rPr>
          <w:rFonts w:ascii="Arial" w:hAnsi="Arial" w:cs="Arial"/>
          <w:i/>
        </w:rPr>
        <w:t>The differentiated classroom:  Responding to the needs of all</w:t>
      </w:r>
    </w:p>
    <w:p w:rsidR="009E5188" w:rsidRDefault="00E03FE7" w:rsidP="00F753E4">
      <w:pPr>
        <w:rPr>
          <w:rFonts w:ascii="Arial" w:hAnsi="Arial" w:cs="Arial"/>
        </w:rPr>
      </w:pPr>
      <w:r>
        <w:rPr>
          <w:rFonts w:ascii="Arial" w:hAnsi="Arial" w:cs="Arial"/>
          <w:i/>
        </w:rPr>
        <w:t xml:space="preserve">    learners</w:t>
      </w:r>
      <w:r w:rsidR="00F753E4">
        <w:rPr>
          <w:rFonts w:ascii="Arial" w:hAnsi="Arial" w:cs="Arial"/>
          <w:i/>
        </w:rPr>
        <w:t>.</w:t>
      </w:r>
      <w:r w:rsidR="009E5188">
        <w:rPr>
          <w:rFonts w:ascii="Arial" w:hAnsi="Arial" w:cs="Arial"/>
        </w:rPr>
        <w:t xml:space="preserve">  Alexandria,</w:t>
      </w:r>
      <w:r>
        <w:rPr>
          <w:rFonts w:ascii="Arial" w:hAnsi="Arial" w:cs="Arial"/>
        </w:rPr>
        <w:t xml:space="preserve"> </w:t>
      </w:r>
      <w:r w:rsidR="009E5188">
        <w:rPr>
          <w:rFonts w:ascii="Arial" w:hAnsi="Arial" w:cs="Arial"/>
        </w:rPr>
        <w:t>VA:  Association for Supervision and Curriculum Development.</w:t>
      </w:r>
    </w:p>
    <w:p w:rsidR="009E5188" w:rsidRDefault="009E5188" w:rsidP="00F753E4">
      <w:pPr>
        <w:rPr>
          <w:rFonts w:ascii="Arial" w:hAnsi="Arial" w:cs="Arial"/>
        </w:rPr>
      </w:pPr>
    </w:p>
    <w:p w:rsidR="009E5188" w:rsidRDefault="009E5188" w:rsidP="009E5188">
      <w:pPr>
        <w:rPr>
          <w:rFonts w:ascii="Arial" w:hAnsi="Arial" w:cs="Arial"/>
          <w:i/>
        </w:rPr>
      </w:pPr>
      <w:r>
        <w:rPr>
          <w:rFonts w:ascii="Arial" w:hAnsi="Arial" w:cs="Arial"/>
        </w:rPr>
        <w:t xml:space="preserve">Winebrenner, S. </w:t>
      </w:r>
      <w:r w:rsidR="009B30BA">
        <w:rPr>
          <w:rFonts w:ascii="Arial" w:hAnsi="Arial" w:cs="Arial"/>
        </w:rPr>
        <w:t>(1992</w:t>
      </w:r>
      <w:r>
        <w:rPr>
          <w:rFonts w:ascii="Arial" w:hAnsi="Arial" w:cs="Arial"/>
        </w:rPr>
        <w:t xml:space="preserve">).  </w:t>
      </w:r>
      <w:r>
        <w:rPr>
          <w:rFonts w:ascii="Arial" w:hAnsi="Arial" w:cs="Arial"/>
          <w:i/>
        </w:rPr>
        <w:t>Teaching gifted kids in the regular classroom:  Strategies and</w:t>
      </w:r>
    </w:p>
    <w:p w:rsidR="009E5188" w:rsidRDefault="009E5188" w:rsidP="009E5188">
      <w:pPr>
        <w:rPr>
          <w:rFonts w:ascii="Arial" w:hAnsi="Arial" w:cs="Arial"/>
          <w:i/>
        </w:rPr>
      </w:pPr>
      <w:r>
        <w:rPr>
          <w:rFonts w:ascii="Arial" w:hAnsi="Arial" w:cs="Arial"/>
          <w:i/>
        </w:rPr>
        <w:t xml:space="preserve">    techniques every teacher can use to meet the academic needs of the gifted and</w:t>
      </w:r>
    </w:p>
    <w:p w:rsidR="009E5188" w:rsidRDefault="009B30BA" w:rsidP="009E5188">
      <w:pPr>
        <w:rPr>
          <w:rFonts w:ascii="Arial" w:hAnsi="Arial" w:cs="Arial"/>
        </w:rPr>
      </w:pPr>
      <w:r>
        <w:rPr>
          <w:rFonts w:ascii="Arial" w:hAnsi="Arial" w:cs="Arial"/>
          <w:i/>
        </w:rPr>
        <w:t xml:space="preserve">    talented.  </w:t>
      </w:r>
      <w:r w:rsidR="009E5188">
        <w:rPr>
          <w:rFonts w:ascii="Arial" w:hAnsi="Arial" w:cs="Arial"/>
        </w:rPr>
        <w:t>Minneapolis, MN:  Free Spirit Publishing.</w:t>
      </w:r>
      <w:r w:rsidR="009E5188">
        <w:rPr>
          <w:rFonts w:ascii="Arial" w:hAnsi="Arial" w:cs="Arial"/>
          <w:i/>
        </w:rPr>
        <w:t xml:space="preserve"> </w:t>
      </w:r>
    </w:p>
    <w:p w:rsidR="00235B1B" w:rsidRDefault="00235B1B" w:rsidP="009E5188">
      <w:pPr>
        <w:rPr>
          <w:rFonts w:ascii="Arial" w:hAnsi="Arial" w:cs="Arial"/>
        </w:rPr>
      </w:pPr>
    </w:p>
    <w:p w:rsidR="00235B1B" w:rsidRDefault="00235B1B" w:rsidP="009E5188">
      <w:pPr>
        <w:rPr>
          <w:rFonts w:ascii="Arial" w:hAnsi="Arial" w:cs="Arial"/>
        </w:rPr>
      </w:pPr>
    </w:p>
    <w:p w:rsidR="00235B1B" w:rsidRDefault="00235B1B" w:rsidP="009E5188">
      <w:pPr>
        <w:rPr>
          <w:rFonts w:ascii="Arial" w:hAnsi="Arial" w:cs="Arial"/>
        </w:rPr>
      </w:pPr>
    </w:p>
    <w:sectPr w:rsidR="00235B1B" w:rsidSect="00DB23B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20509"/>
    <w:multiLevelType w:val="hybridMultilevel"/>
    <w:tmpl w:val="BB0A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D0870"/>
    <w:multiLevelType w:val="hybridMultilevel"/>
    <w:tmpl w:val="9D9E3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F0E7E"/>
    <w:multiLevelType w:val="hybridMultilevel"/>
    <w:tmpl w:val="6F9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40251"/>
    <w:multiLevelType w:val="hybridMultilevel"/>
    <w:tmpl w:val="253E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55FAA"/>
    <w:multiLevelType w:val="hybridMultilevel"/>
    <w:tmpl w:val="6930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B23B0"/>
    <w:rsid w:val="000433F5"/>
    <w:rsid w:val="00081A75"/>
    <w:rsid w:val="00097A46"/>
    <w:rsid w:val="000C1CB8"/>
    <w:rsid w:val="00235B1B"/>
    <w:rsid w:val="00286166"/>
    <w:rsid w:val="002E0985"/>
    <w:rsid w:val="00320F6F"/>
    <w:rsid w:val="00385205"/>
    <w:rsid w:val="00503C4F"/>
    <w:rsid w:val="00531049"/>
    <w:rsid w:val="00560062"/>
    <w:rsid w:val="00563CE7"/>
    <w:rsid w:val="005F12A3"/>
    <w:rsid w:val="006059A7"/>
    <w:rsid w:val="00737EB8"/>
    <w:rsid w:val="00777503"/>
    <w:rsid w:val="0078435B"/>
    <w:rsid w:val="008755D7"/>
    <w:rsid w:val="008D234F"/>
    <w:rsid w:val="008F1F70"/>
    <w:rsid w:val="00937E68"/>
    <w:rsid w:val="00953955"/>
    <w:rsid w:val="009737E5"/>
    <w:rsid w:val="009B30BA"/>
    <w:rsid w:val="009B6E18"/>
    <w:rsid w:val="009E5188"/>
    <w:rsid w:val="00A31395"/>
    <w:rsid w:val="00AB733D"/>
    <w:rsid w:val="00B10CB6"/>
    <w:rsid w:val="00B37DD3"/>
    <w:rsid w:val="00B63F4B"/>
    <w:rsid w:val="00CB47E0"/>
    <w:rsid w:val="00CF6C0E"/>
    <w:rsid w:val="00DB23B0"/>
    <w:rsid w:val="00E03FE7"/>
    <w:rsid w:val="00EC0F0A"/>
    <w:rsid w:val="00F04BDA"/>
    <w:rsid w:val="00F07AA5"/>
    <w:rsid w:val="00F472FD"/>
    <w:rsid w:val="00F75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B0"/>
    <w:pPr>
      <w:ind w:left="720"/>
      <w:contextualSpacing/>
    </w:pPr>
  </w:style>
  <w:style w:type="character" w:styleId="Hyperlink">
    <w:name w:val="Hyperlink"/>
    <w:basedOn w:val="DefaultParagraphFont"/>
    <w:uiPriority w:val="99"/>
    <w:unhideWhenUsed/>
    <w:rsid w:val="00777503"/>
    <w:rPr>
      <w:color w:val="0000FF"/>
      <w:u w:val="single"/>
    </w:rPr>
  </w:style>
  <w:style w:type="character" w:styleId="FollowedHyperlink">
    <w:name w:val="FollowedHyperlink"/>
    <w:basedOn w:val="DefaultParagraphFont"/>
    <w:uiPriority w:val="99"/>
    <w:semiHidden/>
    <w:unhideWhenUsed/>
    <w:rsid w:val="00385205"/>
    <w:rPr>
      <w:color w:val="800080"/>
      <w:u w:val="single"/>
    </w:rPr>
  </w:style>
</w:styles>
</file>

<file path=word/webSettings.xml><?xml version="1.0" encoding="utf-8"?>
<w:webSettings xmlns:r="http://schemas.openxmlformats.org/officeDocument/2006/relationships" xmlns:w="http://schemas.openxmlformats.org/wordprocessingml/2006/main">
  <w:divs>
    <w:div w:id="1999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vergeofyearning.com/forms/finished%20gifted%20web/ttt/INTRO.htm" TargetMode="External"/><Relationship Id="rId5" Type="http://schemas.openxmlformats.org/officeDocument/2006/relationships/hyperlink" Target="http://www.lcps.k12.nm.us/Departments/SPED/AES/Differentiation/nagc_cubing__think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3755</CharactersWithSpaces>
  <SharedDoc>false</SharedDoc>
  <HLinks>
    <vt:vector size="12" baseType="variant">
      <vt:variant>
        <vt:i4>1245278</vt:i4>
      </vt:variant>
      <vt:variant>
        <vt:i4>3</vt:i4>
      </vt:variant>
      <vt:variant>
        <vt:i4>0</vt:i4>
      </vt:variant>
      <vt:variant>
        <vt:i4>5</vt:i4>
      </vt:variant>
      <vt:variant>
        <vt:lpwstr>http://thevergeofyearning.com/forms/finished gifted web/ttt/INTRO.htm</vt:lpwstr>
      </vt:variant>
      <vt:variant>
        <vt:lpwstr/>
      </vt:variant>
      <vt:variant>
        <vt:i4>4325445</vt:i4>
      </vt:variant>
      <vt:variant>
        <vt:i4>0</vt:i4>
      </vt:variant>
      <vt:variant>
        <vt:i4>0</vt:i4>
      </vt:variant>
      <vt:variant>
        <vt:i4>5</vt:i4>
      </vt:variant>
      <vt:variant>
        <vt:lpwstr>http://www.lcps.k12.nm.us/Departments/SPED/AES/Differentiation/nagc_cubing__think_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Public Instruction</dc:creator>
  <cp:keywords/>
  <dc:description/>
  <cp:lastModifiedBy>kzolp</cp:lastModifiedBy>
  <cp:revision>2</cp:revision>
  <cp:lastPrinted>2011-08-24T18:35:00Z</cp:lastPrinted>
  <dcterms:created xsi:type="dcterms:W3CDTF">2013-02-25T21:50:00Z</dcterms:created>
  <dcterms:modified xsi:type="dcterms:W3CDTF">2013-02-25T21:50:00Z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-1763594334</vt:i4>
  </property>
  <property fmtid="{D5CDD505-2E9C-101B-9397-08002B2CF9AE}" pid="3" name="_NewReviewCycle">
    <vt:lpwstr/>
  </property>
  <property fmtid="{D5CDD505-2E9C-101B-9397-08002B2CF9AE}" pid="4" name="_EmailSubject">
    <vt:lpwstr>meeting handouts</vt:lpwstr>
  </property>
  <property fmtid="{D5CDD505-2E9C-101B-9397-08002B2CF9AE}" pid="5" name="_AuthorEmail">
    <vt:lpwstr>Chrystyna.Mursky@dpi.wi.gov</vt:lpwstr>
  </property>
  <property fmtid="{D5CDD505-2E9C-101B-9397-08002B2CF9AE}" pid="6" name="_AuthorEmailDisplayName">
    <vt:lpwstr>Mursky, Chrystyna V.   DPI</vt:lpwstr>
  </property>
  <property fmtid="{D5CDD505-2E9C-101B-9397-08002B2CF9AE}" pid="7" name="_ReviewingToolsShownOnce">
    <vt:lpwstr/>
  </property>
</Properties>
</file>